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right="-2" w:firstLine="4536"/>
        <w:jc w:val="center"/>
        <w:rPr>
          <w:rFonts w:ascii="Times New Roman" w:hAnsi="Times New Roman" w:cs="Times New Roman"/>
          <w:sz w:val="28"/>
          <w:szCs w:val="28"/>
        </w:rPr>
      </w:pPr>
      <w:r>
        <w:rPr>
          <w:rFonts w:cs="Times New Roman" w:ascii="Times New Roman" w:hAnsi="Times New Roman"/>
          <w:sz w:val="28"/>
          <w:szCs w:val="28"/>
        </w:rPr>
        <w:t>Приложение 4</w:t>
      </w:r>
    </w:p>
    <w:p>
      <w:pPr>
        <w:pStyle w:val="Normal"/>
        <w:spacing w:lineRule="auto" w:line="240" w:before="0" w:after="0"/>
        <w:ind w:left="4536" w:hanging="0"/>
        <w:jc w:val="both"/>
        <w:rPr>
          <w:rFonts w:ascii="Times New Roman" w:hAnsi="Times New Roman" w:cs="Times New Roman"/>
          <w:sz w:val="28"/>
          <w:szCs w:val="28"/>
        </w:rPr>
      </w:pPr>
      <w:r>
        <w:rPr>
          <w:rFonts w:cs="Times New Roman" w:ascii="Times New Roman" w:hAnsi="Times New Roman"/>
          <w:sz w:val="28"/>
          <w:szCs w:val="28"/>
        </w:rPr>
        <w:t>к государственной программе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Справочная информация</w:t>
      </w:r>
    </w:p>
    <w:p>
      <w:pPr>
        <w:pStyle w:val="NoSpacing"/>
        <w:ind w:firstLine="709"/>
        <w:jc w:val="center"/>
        <w:rPr>
          <w:rFonts w:ascii="Times New Roman" w:hAnsi="Times New Roman" w:cs="Times New Roman"/>
          <w:sz w:val="28"/>
          <w:szCs w:val="28"/>
        </w:rPr>
      </w:pPr>
      <w:r>
        <w:rPr>
          <w:rFonts w:cs="Times New Roman" w:ascii="Times New Roman" w:hAnsi="Times New Roman"/>
          <w:sz w:val="28"/>
          <w:szCs w:val="28"/>
        </w:rPr>
        <w:t>к подпрограмме «Стимулирование развития жилищного</w:t>
      </w:r>
    </w:p>
    <w:p>
      <w:pPr>
        <w:pStyle w:val="NoSpacing"/>
        <w:ind w:firstLine="709"/>
        <w:jc w:val="center"/>
        <w:rPr>
          <w:rFonts w:ascii="Times New Roman" w:hAnsi="Times New Roman" w:cs="Times New Roman"/>
          <w:sz w:val="28"/>
          <w:szCs w:val="28"/>
        </w:rPr>
      </w:pPr>
      <w:r>
        <w:rPr>
          <w:rFonts w:cs="Times New Roman" w:ascii="Times New Roman" w:hAnsi="Times New Roman"/>
          <w:sz w:val="28"/>
          <w:szCs w:val="28"/>
        </w:rPr>
        <w:t>строительства в Брянской области» государственной программы</w:t>
      </w:r>
    </w:p>
    <w:p>
      <w:pPr>
        <w:pStyle w:val="NoSpacing"/>
        <w:ind w:firstLine="709"/>
        <w:jc w:val="center"/>
        <w:rPr>
          <w:rFonts w:ascii="Times New Roman" w:hAnsi="Times New Roman" w:cs="Times New Roman"/>
          <w:sz w:val="28"/>
          <w:szCs w:val="28"/>
        </w:rPr>
      </w:pPr>
      <w:r>
        <w:rPr>
          <w:rFonts w:cs="Times New Roman" w:ascii="Times New Roman" w:hAnsi="Times New Roman"/>
          <w:sz w:val="28"/>
          <w:szCs w:val="28"/>
        </w:rPr>
        <w:t>«Обеспечение реализации государственных полномочий</w:t>
      </w:r>
    </w:p>
    <w:p>
      <w:pPr>
        <w:pStyle w:val="NoSpacing"/>
        <w:ind w:firstLine="709"/>
        <w:jc w:val="center"/>
        <w:rPr>
          <w:rFonts w:ascii="Times New Roman" w:hAnsi="Times New Roman" w:cs="Times New Roman"/>
          <w:sz w:val="28"/>
          <w:szCs w:val="28"/>
        </w:rPr>
      </w:pPr>
      <w:r>
        <w:rPr>
          <w:rFonts w:cs="Times New Roman" w:ascii="Times New Roman" w:hAnsi="Times New Roman"/>
          <w:sz w:val="28"/>
          <w:szCs w:val="28"/>
        </w:rPr>
        <w:t>в области строительства, архитектуры и развитие</w:t>
      </w:r>
    </w:p>
    <w:p>
      <w:pPr>
        <w:pStyle w:val="NoSpacing"/>
        <w:ind w:firstLine="709"/>
        <w:jc w:val="center"/>
        <w:rPr>
          <w:rFonts w:ascii="Times New Roman" w:hAnsi="Times New Roman" w:cs="Times New Roman"/>
          <w:sz w:val="28"/>
          <w:szCs w:val="28"/>
        </w:rPr>
      </w:pPr>
      <w:r>
        <w:rPr>
          <w:rFonts w:cs="Times New Roman" w:ascii="Times New Roman" w:hAnsi="Times New Roman"/>
          <w:sz w:val="28"/>
          <w:szCs w:val="28"/>
        </w:rPr>
        <w:t>дорожного хозяйства Брянской области»</w:t>
      </w:r>
    </w:p>
    <w:p>
      <w:pPr>
        <w:pStyle w:val="NoSpacing"/>
        <w:ind w:firstLine="709"/>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Обеспечение жилищного строительства земельными участками</w:t>
      </w:r>
    </w:p>
    <w:p>
      <w:pPr>
        <w:pStyle w:val="NoSpacing"/>
        <w:ind w:firstLine="709"/>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Обеспечение жилищного строительства земельными участками осуществляется по следующим направлениям:</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определение перечня земельных участков для комплексного освоения в целях жилищного строительства;</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определение перечня земельных участков для малоэтажного и индивидуального жилищного строительства;</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определение возможности подключения объектов к сетям инженерно-технического обеспечения;</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информирование граждан о наличии сформированных земельных участков, которые могут быть предоставлены для малоэтажного и индивидуального жилищного строительства;</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планирование в бюджетах муниципальных образований области денежных средств на формирование земельных участков, в том числе на постановку их на кадастровый учет;</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вовлечение в хозяйственный оборот для целей жилищного строительства земельных участков на территории Брянской области, находящихся в муниципальной и неразграниченной собственности;</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вовлечение в хозяйственный оборот для целей жилищного строительства на территории Брянской области земельных участков, находящихся в федеральной собственности, в рамках осуществления взаимодействия с единым институтом развития в жилищной сфере (далее - единым институтом развития).</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Вовлечение в хозяйственный оборот для целей жилищного строительства земельных участков на территории Брянской области, находящихся в муниципальной и неразграниченной собственности, предполагает в первую очередь формирование органами местного самоуправления муниципальных образований области перечней выявленных земельных участков муниципальной собственности, которые могут быть использованы под жилищное строительство в соответствии с утвержденными документами территориального планирования, и подготовку таких участков для выставления на аукционы для передачи застройщикам. На органы местного самоуправления также возлагается обязательство по разработке конкурсной документации для проведения аукционов по предоставлению земельных участков в целях строительства стандартного жилья. Работа по выявлению земельных участков, находящихся в муниципальной собственности, для целей жилищного строительства и проведению аукционов по предоставлению таких земельных участков застройщикам будет проводиться органами местного самоуправления муниципальных образований области в течение 2019 - 2024 годов по мере необходимости.</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Механизм вовлечения в оборот неиспользованных земельных участков, находящихся в федеральной собственности, предусмотрен Федеральным законом от 24 июля 2008 года № 161-ФЗ «О содействии развитию жилищного строительства», регулирует отношения между единым институтом развития в жилищной сфере, органами государственной власти и местного управления и физическими и юридическими лицами.</w:t>
      </w:r>
    </w:p>
    <w:p>
      <w:pPr>
        <w:pStyle w:val="NoSpacing"/>
        <w:ind w:firstLine="709"/>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center"/>
        <w:rPr>
          <w:rFonts w:ascii="Times New Roman" w:hAnsi="Times New Roman" w:cs="Times New Roman"/>
          <w:sz w:val="28"/>
          <w:szCs w:val="28"/>
        </w:rPr>
      </w:pPr>
      <w:r>
        <w:rPr>
          <w:rFonts w:cs="Times New Roman" w:ascii="Times New Roman" w:hAnsi="Times New Roman"/>
          <w:sz w:val="28"/>
          <w:szCs w:val="28"/>
        </w:rPr>
        <w:t>Перечень</w:t>
      </w:r>
    </w:p>
    <w:p>
      <w:pPr>
        <w:pStyle w:val="NoSpacing"/>
        <w:ind w:firstLine="709"/>
        <w:jc w:val="center"/>
        <w:rPr>
          <w:rFonts w:ascii="Times New Roman" w:hAnsi="Times New Roman" w:cs="Times New Roman"/>
          <w:sz w:val="28"/>
          <w:szCs w:val="28"/>
        </w:rPr>
      </w:pPr>
      <w:r>
        <w:rPr>
          <w:rFonts w:cs="Times New Roman" w:ascii="Times New Roman" w:hAnsi="Times New Roman"/>
          <w:sz w:val="28"/>
          <w:szCs w:val="28"/>
        </w:rPr>
        <w:t>земельных участков, предоставленных единым институтом</w:t>
      </w:r>
    </w:p>
    <w:p>
      <w:pPr>
        <w:pStyle w:val="NoSpacing"/>
        <w:ind w:firstLine="709"/>
        <w:jc w:val="center"/>
        <w:rPr>
          <w:rFonts w:ascii="Times New Roman" w:hAnsi="Times New Roman" w:cs="Times New Roman"/>
          <w:sz w:val="28"/>
          <w:szCs w:val="28"/>
        </w:rPr>
      </w:pPr>
      <w:r>
        <w:rPr>
          <w:rFonts w:cs="Times New Roman" w:ascii="Times New Roman" w:hAnsi="Times New Roman"/>
          <w:sz w:val="28"/>
          <w:szCs w:val="28"/>
        </w:rPr>
        <w:t>развития в аренду для комплексного освоения</w:t>
      </w:r>
    </w:p>
    <w:p>
      <w:pPr>
        <w:pStyle w:val="NoSpacing"/>
        <w:ind w:firstLine="709"/>
        <w:jc w:val="center"/>
        <w:rPr>
          <w:rFonts w:ascii="Times New Roman" w:hAnsi="Times New Roman" w:cs="Times New Roman"/>
          <w:sz w:val="28"/>
          <w:szCs w:val="28"/>
        </w:rPr>
      </w:pPr>
      <w:r>
        <w:rPr>
          <w:rFonts w:cs="Times New Roman" w:ascii="Times New Roman" w:hAnsi="Times New Roman"/>
          <w:sz w:val="28"/>
          <w:szCs w:val="28"/>
        </w:rPr>
        <w:t>в целях жилищного строительства</w:t>
      </w:r>
    </w:p>
    <w:p>
      <w:pPr>
        <w:pStyle w:val="NoSpacing"/>
        <w:ind w:firstLine="709"/>
        <w:rPr>
          <w:rFonts w:ascii="Times New Roman" w:hAnsi="Times New Roman" w:cs="Times New Roman"/>
          <w:sz w:val="28"/>
          <w:szCs w:val="28"/>
        </w:rPr>
      </w:pPr>
      <w:r>
        <w:rPr>
          <w:rFonts w:cs="Times New Roman" w:ascii="Times New Roman" w:hAnsi="Times New Roman"/>
          <w:sz w:val="28"/>
          <w:szCs w:val="28"/>
        </w:rPr>
      </w:r>
    </w:p>
    <w:tbl>
      <w:tblPr>
        <w:tblW w:w="9468" w:type="dxa"/>
        <w:jc w:val="left"/>
        <w:tblInd w:w="0" w:type="dxa"/>
        <w:tblLayout w:type="fixed"/>
        <w:tblCellMar>
          <w:top w:w="102" w:type="dxa"/>
          <w:left w:w="62" w:type="dxa"/>
          <w:bottom w:w="102" w:type="dxa"/>
          <w:right w:w="62" w:type="dxa"/>
        </w:tblCellMar>
        <w:tblLook w:firstRow="1" w:noVBand="1" w:lastRow="0" w:firstColumn="1" w:lastColumn="0" w:noHBand="0" w:val="04a0"/>
      </w:tblPr>
      <w:tblGrid>
        <w:gridCol w:w="454"/>
        <w:gridCol w:w="2238"/>
        <w:gridCol w:w="2189"/>
        <w:gridCol w:w="1134"/>
        <w:gridCol w:w="1339"/>
        <w:gridCol w:w="2113"/>
      </w:tblGrid>
      <w:tr>
        <w:trPr/>
        <w:tc>
          <w:tcPr>
            <w:tcW w:w="4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п/п</w:t>
            </w:r>
          </w:p>
        </w:tc>
        <w:tc>
          <w:tcPr>
            <w:tcW w:w="22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Месторасположение (адрес)</w:t>
            </w:r>
          </w:p>
        </w:tc>
        <w:tc>
          <w:tcPr>
            <w:tcW w:w="21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Кадастровый номер</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Площадь, кв. м</w:t>
            </w:r>
          </w:p>
        </w:tc>
        <w:tc>
          <w:tcPr>
            <w:tcW w:w="13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Категория</w:t>
            </w:r>
          </w:p>
        </w:tc>
        <w:tc>
          <w:tcPr>
            <w:tcW w:w="21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Фактическое использование</w:t>
            </w:r>
          </w:p>
        </w:tc>
      </w:tr>
      <w:tr>
        <w:trPr/>
        <w:tc>
          <w:tcPr>
            <w:tcW w:w="4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22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Установлено относительно ориентира, расположенного за пределами участка. Ориентир - населенный пункт. Участок находится примерно в 100 м от ориентира по направлению на северо-восток. Адрес ориентира: Брянская область, Брянский район, пос. Мичуринский, уч. 5.2 ГНУ ВНИИ Люпина</w:t>
            </w:r>
          </w:p>
        </w:tc>
        <w:tc>
          <w:tcPr>
            <w:tcW w:w="21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32:02:0000000:3244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954 025</w:t>
            </w:r>
          </w:p>
        </w:tc>
        <w:tc>
          <w:tcPr>
            <w:tcW w:w="13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земли населенных пунктов</w:t>
            </w:r>
          </w:p>
        </w:tc>
        <w:tc>
          <w:tcPr>
            <w:tcW w:w="21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комплексного освоения в целях жилищного строительства, в том числе строительства малоэтажного (многоквартир-ного) стандартного жилья</w:t>
            </w:r>
          </w:p>
        </w:tc>
      </w:tr>
      <w:tr>
        <w:trPr/>
        <w:tc>
          <w:tcPr>
            <w:tcW w:w="4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22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Установлено относительно ориентира, расположенного за пределами участка. Ориентир - населенный пункт. Участок находится примерно в 100 м от ориентира по направлению на северо-восток. Адрес ориентира: Брянская область, Брянский район, пос. Мичуринский, участок 5.2 ГНУ ВНИИ Люпина</w:t>
            </w:r>
          </w:p>
        </w:tc>
        <w:tc>
          <w:tcPr>
            <w:tcW w:w="21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32:02:390204:54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513 223</w:t>
            </w:r>
          </w:p>
        </w:tc>
        <w:tc>
          <w:tcPr>
            <w:tcW w:w="13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земли населенных пунктов</w:t>
            </w:r>
          </w:p>
        </w:tc>
        <w:tc>
          <w:tcPr>
            <w:tcW w:w="21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комплексного освоения в целях жилищного строительства, в том числе строительства малоэтажного (многоквартир-ного) стандартного жилья</w:t>
            </w:r>
          </w:p>
        </w:tc>
      </w:tr>
    </w:tbl>
    <w:p>
      <w:pPr>
        <w:pStyle w:val="NoSpacing"/>
        <w:ind w:firstLine="709"/>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В рамках реализации Федерального закона «О содействии развитию жилищного строительства» предусматривается возможность предоставления земельных участков, находящихся в федеральной собственности, в том числе в собственности единого института развития, для жилищного строительства в безвозмездное пользование кооперативам, создаваемым в целях обеспечения жильем граждан в соответствии со статьей 16.5 Федерального закона от 24 июля 2008 года № 161-ФЗ «О содействии развитию жилищного строительства» и частью 9.2 статьи 3 Федерального закона от 25 октября 2001 года № 137-ФЗ «О введении в действие Земельного кодекса Российской Федерации».</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Также осуществляется механизм предоставления земельного участка для комплексного освоения территории. Договор аренды земельного участка единого института развития для жилищного строительства, для комплексного освоения территории, в рамках которого предусматривается в том числе жилищное строительство, и (или) для иного развития территории заключается по результатам аукциона на право заключения этого договора. Одним из существенных условий договора аренды является обязательство лица, с которым заключен договор аренды, обеспечить передачу по результатам строительства определенной доли общей площади жилых и (или) нежилых помещений единому институту развития. Победителем аукциона признается лицо, предложившее наибольший размер арендного платежа или максимальную долю общей площади жилых и (или) нежилых помещений, подлежащих передаче.</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center"/>
        <w:rPr>
          <w:rFonts w:ascii="Times New Roman" w:hAnsi="Times New Roman" w:cs="Times New Roman"/>
          <w:sz w:val="28"/>
          <w:szCs w:val="28"/>
        </w:rPr>
      </w:pPr>
      <w:r>
        <w:rPr>
          <w:rFonts w:cs="Times New Roman" w:ascii="Times New Roman" w:hAnsi="Times New Roman"/>
          <w:sz w:val="28"/>
          <w:szCs w:val="28"/>
        </w:rPr>
        <w:t>Поддержка реализации проектов жилищного строительства</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В части стимулирования предложений на рынке жилья в Брянской области основное внимание уделяется реализации социальных жилищных программ, поддержке инвестиционных проектов комплексного освоения и развития территорий.</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Планируемые меры государственной поддержки основываются на механизмах, реализуемых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федерального проекта «Жилье» и включают в себя предоставление субсидий за счет средств федерального, областного и местных бюджетов:</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на возмещение затрат (части затрат) на уплату процентов по кредитам, полученным заемщиками в российских кредитных организациях на обеспечение инженерной инфраструктурой проектов по развитию территорий, а также земельных участков, предоставляемых семьям, имеющим 3 и более детей;</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на возмещение затрат (части затрат) на выплату платы концедента по концессионным соглашениям, заключенным на строительство и (или) реконструкцию (модернизацию) объектов водоснабжения, водоотведения и теплоснабжения;</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на подключение (технологическое присоединение) проектов по развитию территорий к сетям теплоснабжения, водоснабжения и водоотведения;</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на строительство (реконструкцию) объектов транспортной инфраструктуры в рамках реализации проектов по развитию территорий;</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 на строительство (реконструкцию) объектов водоснабжения, водоотведения и теплоснабжения, в том числе магистральных сетей, обеспечивающих коммунальной инфраструктурой проекты по развитию территорий.</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Привлечение средств областного бюджета для комплексного освоения площадок жилой застройки осуществляется на развитие дорожной инфраструктуры в рамках реализуемых программ Брянской области. Строительство автомобильных дорог местного значения выполняется в соответствии с Порядком предоставления субсидий бюджетам муниципальных образований за счет федеральных средств и средств дорожного фонда. Внебюджетные средства планируется привлекать за счет кредитов банков, собственных средств инвесторов на основе использования рыночных механизмов.</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Кроме того, строительство подводящих инженерных сетей к новым жилым микрорайонам будет решаться в рамках инвестиционных программ организаций коммунального комплекса с включением инвестиционной составляющей в тарифы и плату за присоединение к системам коммунальной инфраструктуры в соответствии с законодательством.</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Перечень существующих проектов комплексного освоения и развития территорий:</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r>
      <w:bookmarkStart w:id="0" w:name="_GoBack"/>
      <w:bookmarkStart w:id="1" w:name="_GoBack"/>
      <w:bookmarkEnd w:id="1"/>
    </w:p>
    <w:tbl>
      <w:tblPr>
        <w:tblW w:w="9399" w:type="dxa"/>
        <w:jc w:val="left"/>
        <w:tblInd w:w="0" w:type="dxa"/>
        <w:tblLayout w:type="fixed"/>
        <w:tblCellMar>
          <w:top w:w="102" w:type="dxa"/>
          <w:left w:w="62" w:type="dxa"/>
          <w:bottom w:w="102" w:type="dxa"/>
          <w:right w:w="62" w:type="dxa"/>
        </w:tblCellMar>
        <w:tblLook w:firstRow="1" w:noVBand="1" w:lastRow="0" w:firstColumn="1" w:lastColumn="0" w:noHBand="0" w:val="04a0"/>
      </w:tblPr>
      <w:tblGrid>
        <w:gridCol w:w="453"/>
        <w:gridCol w:w="2325"/>
        <w:gridCol w:w="2133"/>
        <w:gridCol w:w="1388"/>
        <w:gridCol w:w="1308"/>
        <w:gridCol w:w="1791"/>
      </w:tblGrid>
      <w:tr>
        <w:trPr/>
        <w:tc>
          <w:tcPr>
            <w:tcW w:w="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п/п</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Наименование проекта</w:t>
            </w:r>
          </w:p>
        </w:tc>
        <w:tc>
          <w:tcPr>
            <w:tcW w:w="2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Инвестор</w:t>
            </w:r>
          </w:p>
        </w:tc>
        <w:tc>
          <w:tcPr>
            <w:tcW w:w="13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Площадь земельного участка, га</w:t>
            </w:r>
          </w:p>
        </w:tc>
        <w:tc>
          <w:tcPr>
            <w:tcW w:w="13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Срок реализации</w:t>
            </w:r>
          </w:p>
        </w:tc>
        <w:tc>
          <w:tcPr>
            <w:tcW w:w="17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Планируемый объем ввода жилья, тыс. кв. м</w:t>
            </w:r>
          </w:p>
        </w:tc>
      </w:tr>
      <w:tr>
        <w:trPr>
          <w:trHeight w:val="1022" w:hRule="atLeast"/>
        </w:trPr>
        <w:tc>
          <w:tcPr>
            <w:tcW w:w="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Комплексная застройка по</w:t>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ул. Флотской</w:t>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г. Брянска</w:t>
            </w:r>
          </w:p>
        </w:tc>
        <w:tc>
          <w:tcPr>
            <w:tcW w:w="2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ООО «Премиум проект»</w:t>
            </w:r>
          </w:p>
        </w:tc>
        <w:tc>
          <w:tcPr>
            <w:tcW w:w="13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131</w:t>
            </w:r>
          </w:p>
        </w:tc>
        <w:tc>
          <w:tcPr>
            <w:tcW w:w="13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2011 - 2024</w:t>
            </w:r>
          </w:p>
        </w:tc>
        <w:tc>
          <w:tcPr>
            <w:tcW w:w="17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700</w:t>
            </w:r>
          </w:p>
        </w:tc>
      </w:tr>
      <w:tr>
        <w:trPr/>
        <w:tc>
          <w:tcPr>
            <w:tcW w:w="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Застройка территории бывшего аэропорта в Советском районе</w:t>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г. Брянска</w:t>
            </w:r>
          </w:p>
        </w:tc>
        <w:tc>
          <w:tcPr>
            <w:tcW w:w="2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ООО «БСК»</w:t>
            </w:r>
          </w:p>
        </w:tc>
        <w:tc>
          <w:tcPr>
            <w:tcW w:w="13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233</w:t>
            </w:r>
          </w:p>
        </w:tc>
        <w:tc>
          <w:tcPr>
            <w:tcW w:w="13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2016 - 2023</w:t>
            </w:r>
          </w:p>
        </w:tc>
        <w:tc>
          <w:tcPr>
            <w:tcW w:w="17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1150</w:t>
            </w:r>
          </w:p>
        </w:tc>
      </w:tr>
      <w:tr>
        <w:trPr/>
        <w:tc>
          <w:tcPr>
            <w:tcW w:w="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Застройка микрорайона «Мегаполис-Парк» (I этап строительства) в п. Мичуринский Брянского района Брянской области</w:t>
            </w:r>
          </w:p>
        </w:tc>
        <w:tc>
          <w:tcPr>
            <w:tcW w:w="2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ООО «Мегаполис-Строй»</w:t>
            </w:r>
          </w:p>
        </w:tc>
        <w:tc>
          <w:tcPr>
            <w:tcW w:w="13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95</w:t>
            </w:r>
          </w:p>
        </w:tc>
        <w:tc>
          <w:tcPr>
            <w:tcW w:w="13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2019 - 2028</w:t>
            </w:r>
          </w:p>
        </w:tc>
        <w:tc>
          <w:tcPr>
            <w:tcW w:w="17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405</w:t>
            </w:r>
          </w:p>
        </w:tc>
      </w:tr>
      <w:tr>
        <w:trPr/>
        <w:tc>
          <w:tcPr>
            <w:tcW w:w="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Жилой комплекс «Мегаполис – Парк» (пос. Путевка Брянского района)</w:t>
            </w:r>
          </w:p>
        </w:tc>
        <w:tc>
          <w:tcPr>
            <w:tcW w:w="2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ООО «Мегаполис-Строй»</w:t>
            </w:r>
          </w:p>
        </w:tc>
        <w:tc>
          <w:tcPr>
            <w:tcW w:w="13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20</w:t>
            </w:r>
          </w:p>
        </w:tc>
        <w:tc>
          <w:tcPr>
            <w:tcW w:w="13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2014 - 2022</w:t>
            </w:r>
          </w:p>
        </w:tc>
        <w:tc>
          <w:tcPr>
            <w:tcW w:w="17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100 - 160</w:t>
            </w:r>
          </w:p>
        </w:tc>
      </w:tr>
      <w:tr>
        <w:trPr/>
        <w:tc>
          <w:tcPr>
            <w:tcW w:w="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5.</w:t>
            </w:r>
          </w:p>
        </w:tc>
        <w:tc>
          <w:tcPr>
            <w:tcW w:w="23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Застройка микрорайона «Мегаполис-Парк» (II этап строительства) в пос. Мичуринский Брянского района Брянской области</w:t>
            </w:r>
          </w:p>
        </w:tc>
        <w:tc>
          <w:tcPr>
            <w:tcW w:w="2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ООО «Мегаполис-Строй»</w:t>
            </w:r>
          </w:p>
        </w:tc>
        <w:tc>
          <w:tcPr>
            <w:tcW w:w="13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51</w:t>
            </w:r>
          </w:p>
        </w:tc>
        <w:tc>
          <w:tcPr>
            <w:tcW w:w="13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2020 - 2030</w:t>
            </w:r>
          </w:p>
        </w:tc>
        <w:tc>
          <w:tcPr>
            <w:tcW w:w="17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150</w:t>
            </w:r>
          </w:p>
        </w:tc>
      </w:tr>
    </w:tbl>
    <w:p>
      <w:pPr>
        <w:pStyle w:val="NoSpacing"/>
        <w:ind w:firstLine="709"/>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both"/>
        <w:rPr>
          <w:rFonts w:ascii="Times New Roman" w:hAnsi="Times New Roman"/>
          <w:sz w:val="28"/>
          <w:szCs w:val="28"/>
        </w:rPr>
      </w:pPr>
      <w:r>
        <w:rPr>
          <w:rFonts w:cs="Times New Roman" w:ascii="Times New Roman" w:hAnsi="Times New Roman"/>
          <w:sz w:val="28"/>
          <w:szCs w:val="28"/>
        </w:rPr>
        <w:t xml:space="preserve">Также одной из действенных мер поддержки развития жилищного строительства является </w:t>
      </w:r>
      <w:r>
        <w:rPr>
          <w:rFonts w:cs="Times New Roman" w:ascii="Times New Roman" w:hAnsi="Times New Roman"/>
          <w:color w:val="000000"/>
          <w:sz w:val="28"/>
          <w:szCs w:val="28"/>
          <w:lang w:eastAsia="ru-RU" w:bidi="ru-RU"/>
        </w:rPr>
        <w:t xml:space="preserve">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w:t>
      </w:r>
      <w:r>
        <w:rPr>
          <w:rFonts w:ascii="Times New Roman" w:hAnsi="Times New Roman"/>
          <w:sz w:val="28"/>
          <w:szCs w:val="28"/>
        </w:rPr>
        <w:t xml:space="preserve">Кредиты предоставляются по льготной ставке на длительный срок на реализацию крупных инфраструктурных проектов. </w:t>
      </w:r>
    </w:p>
    <w:p>
      <w:pPr>
        <w:pStyle w:val="1"/>
        <w:shd w:val="clear" w:color="auto" w:fill="auto"/>
        <w:spacing w:lineRule="auto" w:line="240"/>
        <w:ind w:firstLine="822"/>
        <w:jc w:val="both"/>
        <w:rPr>
          <w:rFonts w:ascii="Times New Roman" w:hAnsi="Times New Roman"/>
          <w:sz w:val="28"/>
          <w:szCs w:val="28"/>
        </w:rPr>
      </w:pPr>
      <w:r>
        <w:rPr>
          <w:rFonts w:ascii="Times New Roman" w:hAnsi="Times New Roman"/>
          <w:sz w:val="28"/>
          <w:szCs w:val="28"/>
        </w:rPr>
        <w:t>Критерии отборы:</w:t>
      </w:r>
    </w:p>
    <w:p>
      <w:pPr>
        <w:pStyle w:val="1"/>
        <w:shd w:val="clear" w:color="auto" w:fill="auto"/>
        <w:spacing w:lineRule="auto" w:line="240"/>
        <w:ind w:firstLine="822"/>
        <w:jc w:val="both"/>
        <w:rPr>
          <w:rFonts w:ascii="Times New Roman" w:hAnsi="Times New Roman"/>
          <w:sz w:val="28"/>
          <w:szCs w:val="28"/>
        </w:rPr>
      </w:pPr>
      <w:r>
        <w:rPr>
          <w:rFonts w:ascii="Times New Roman" w:hAnsi="Times New Roman"/>
          <w:sz w:val="28"/>
          <w:szCs w:val="28"/>
        </w:rPr>
        <w:t>-количество привлеченных внебюджетных средств;</w:t>
      </w:r>
    </w:p>
    <w:p>
      <w:pPr>
        <w:pStyle w:val="1"/>
        <w:shd w:val="clear" w:color="auto" w:fill="auto"/>
        <w:spacing w:lineRule="auto" w:line="240"/>
        <w:ind w:firstLine="822"/>
        <w:jc w:val="both"/>
        <w:rPr>
          <w:rFonts w:ascii="Times New Roman" w:hAnsi="Times New Roman"/>
          <w:sz w:val="28"/>
          <w:szCs w:val="28"/>
        </w:rPr>
      </w:pPr>
      <w:r>
        <w:rPr>
          <w:rFonts w:ascii="Times New Roman" w:hAnsi="Times New Roman"/>
          <w:sz w:val="28"/>
          <w:szCs w:val="28"/>
        </w:rPr>
        <w:t>-количество созданных рабочих мест;</w:t>
      </w:r>
    </w:p>
    <w:p>
      <w:pPr>
        <w:pStyle w:val="1"/>
        <w:shd w:val="clear" w:color="auto" w:fill="auto"/>
        <w:spacing w:lineRule="auto" w:line="240"/>
        <w:ind w:firstLine="822"/>
        <w:jc w:val="both"/>
        <w:rPr>
          <w:rFonts w:ascii="Times New Roman" w:hAnsi="Times New Roman"/>
          <w:sz w:val="28"/>
          <w:szCs w:val="28"/>
        </w:rPr>
      </w:pPr>
      <w:r>
        <w:rPr>
          <w:rFonts w:ascii="Times New Roman" w:hAnsi="Times New Roman"/>
          <w:sz w:val="28"/>
          <w:szCs w:val="28"/>
        </w:rPr>
        <w:t xml:space="preserve">-дополнительные налоговые и неналоговые доходы в консолидированный бюджет. </w:t>
      </w:r>
    </w:p>
    <w:p>
      <w:pPr>
        <w:pStyle w:val="1"/>
        <w:shd w:val="clear" w:color="auto" w:fill="auto"/>
        <w:spacing w:lineRule="auto" w:line="240"/>
        <w:ind w:left="23" w:right="40" w:firstLine="680"/>
        <w:jc w:val="both"/>
        <w:rPr>
          <w:rFonts w:ascii="Times New Roman" w:hAnsi="Times New Roman"/>
          <w:sz w:val="28"/>
          <w:szCs w:val="28"/>
        </w:rPr>
      </w:pPr>
      <w:r>
        <w:rPr>
          <w:rFonts w:ascii="Times New Roman" w:hAnsi="Times New Roman"/>
          <w:sz w:val="28"/>
          <w:szCs w:val="28"/>
        </w:rPr>
        <w:t>Средства бюджета субъекта Российской Федерации, полученные из федерального бюджета в виде бюджетных кредитов на финансовое обеспечение реализации инфраструктурных проектов, подлежат использованию по следующим направлениям:</w:t>
      </w:r>
    </w:p>
    <w:p>
      <w:pPr>
        <w:pStyle w:val="Normal"/>
        <w:spacing w:lineRule="auto" w:line="240" w:before="0" w:after="0"/>
        <w:ind w:firstLine="540"/>
        <w:jc w:val="both"/>
        <w:rPr>
          <w:rFonts w:ascii="Times New Roman" w:hAnsi="Times New Roman"/>
          <w:sz w:val="28"/>
          <w:szCs w:val="28"/>
        </w:rPr>
      </w:pPr>
      <w:r>
        <w:rPr>
          <w:rFonts w:ascii="Times New Roman" w:hAnsi="Times New Roman"/>
          <w:sz w:val="28"/>
          <w:szCs w:val="28"/>
        </w:rPr>
        <w:t>-проектирование, строительство, реконструкция, техническое перевооружение, капитальный ремонт объектов транспортной, инженерной, коммунальной, социальной, туристской инфраструктур, объектов инфраструктуры индустриальных (промышленных) парков, промышленных технопарков, особых экономических зон, созданных в соответствии с Федеральным законом «Об особых экономических зонах в Российской Федерации», территорий опережающего социально-экономического развития, инновационных научно-технологических центров, а также объектов инфраструктуры, необходимых для создания и использования объектов недвижимости жилищного фонда;</w:t>
      </w:r>
    </w:p>
    <w:p>
      <w:pPr>
        <w:pStyle w:val="Normal"/>
        <w:spacing w:lineRule="auto" w:line="240" w:before="0" w:after="0"/>
        <w:ind w:firstLine="540"/>
        <w:jc w:val="both"/>
        <w:rPr>
          <w:rFonts w:ascii="Times New Roman" w:hAnsi="Times New Roman"/>
          <w:sz w:val="28"/>
          <w:szCs w:val="28"/>
        </w:rPr>
      </w:pPr>
      <w:r>
        <w:rPr>
          <w:rFonts w:ascii="Times New Roman" w:hAnsi="Times New Roman"/>
          <w:sz w:val="28"/>
          <w:szCs w:val="28"/>
        </w:rPr>
        <w:t>-приобретение подвижного состава городского транспорта общего пользования;</w:t>
      </w:r>
    </w:p>
    <w:p>
      <w:pPr>
        <w:pStyle w:val="Normal"/>
        <w:spacing w:lineRule="auto" w:line="240" w:before="0" w:after="0"/>
        <w:ind w:firstLine="540"/>
        <w:jc w:val="both"/>
        <w:rPr>
          <w:rFonts w:ascii="Times New Roman" w:hAnsi="Times New Roman"/>
          <w:sz w:val="28"/>
          <w:szCs w:val="28"/>
        </w:rPr>
      </w:pPr>
      <w:r>
        <w:rPr>
          <w:rFonts w:ascii="Times New Roman" w:hAnsi="Times New Roman"/>
          <w:sz w:val="28"/>
          <w:szCs w:val="28"/>
        </w:rPr>
        <w:t>-технологическое присоединение к сетям инженерно-технического обеспечения.</w:t>
      </w:r>
    </w:p>
    <w:p>
      <w:pPr>
        <w:pStyle w:val="Normal"/>
        <w:spacing w:lineRule="auto" w:line="240" w:before="0" w:after="0"/>
        <w:ind w:firstLine="540"/>
        <w:jc w:val="both"/>
        <w:rPr>
          <w:rFonts w:ascii="Times New Roman" w:hAnsi="Times New Roman" w:cs="Times New Roman"/>
          <w:sz w:val="28"/>
          <w:szCs w:val="28"/>
        </w:rPr>
      </w:pPr>
      <w:r>
        <w:rPr>
          <w:rFonts w:ascii="Times New Roman" w:hAnsi="Times New Roman"/>
          <w:sz w:val="28"/>
          <w:szCs w:val="28"/>
        </w:rPr>
        <w:t xml:space="preserve">Кроме того, одним из направлений реализации комплексных мер инфраструктурного меню является механизм финансирования инфраструктуры предполагает оказание поддержки в обеспечении земельных участков транспортной, инженерной и социальной инфраструктурой посредством инфраструктурных облигаций, выпускаемых Специализированным обществом проектного финансирования </w:t>
        <w:br/>
        <w:t xml:space="preserve">(СОПФ ДОМ.РФ). Средства от размещений направляются на финансирование инфраструктуры – либо застройщикам в виде инфраструктурных займов, либо субъектам РФ путем выкупа их собственных облигаций со стороны </w:t>
        <w:br/>
        <w:t>СОПФ в зависимости от прав на земельный участок под жилищное строительство.</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lang w:eastAsia="x-none"/>
        </w:rPr>
        <w:t>Правительством Российской Федерации</w:t>
      </w:r>
      <w:r>
        <w:rPr>
          <w:rFonts w:cs="Times New Roman" w:ascii="Times New Roman" w:hAnsi="Times New Roman"/>
          <w:sz w:val="28"/>
          <w:szCs w:val="28"/>
        </w:rPr>
        <w:t xml:space="preserve"> в целях стимулирования жилищного строительства реализуется программа субсидирования процентных ставок по кредитам, выданным застройщикам на цели реализации проектов жилищного строительства. Начиная 2021 года застройщикам, которые планируют реализовать проекты жилищного строительства с использованием механизма привлечения средств граждан на счета эскроу, доступно проектное финансирование на условиях программы субсидирования процентной ставки.</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Согласно условиям программы, предоставление финансирования доступно если:</w:t>
      </w:r>
    </w:p>
    <w:p>
      <w:pPr>
        <w:pStyle w:val="Normal"/>
        <w:numPr>
          <w:ilvl w:val="0"/>
          <w:numId w:val="1"/>
        </w:numPr>
        <w:shd w:val="clear" w:color="auto" w:fill="FFFFFF"/>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по проекту жилищного строительства показатель LLCR, рассчитанный кредитором (в соответствии с нормативными актами Банка России), находится в диапазоне от 1,05 до 1,15;</w:t>
      </w:r>
    </w:p>
    <w:p>
      <w:pPr>
        <w:pStyle w:val="Normal"/>
        <w:numPr>
          <w:ilvl w:val="0"/>
          <w:numId w:val="1"/>
        </w:numPr>
        <w:shd w:val="clear" w:color="auto" w:fill="FFFFFF"/>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планируемая стоимость строительства проекта в соответствии с проектной декларацией не превышает 500 млн рублей;</w:t>
      </w:r>
    </w:p>
    <w:p>
      <w:pPr>
        <w:pStyle w:val="Normal"/>
        <w:numPr>
          <w:ilvl w:val="0"/>
          <w:numId w:val="1"/>
        </w:numPr>
        <w:shd w:val="clear" w:color="auto" w:fill="FFFFFF"/>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проект жилищного строительства реализуется на территории </w:t>
        <w:br/>
        <w:t xml:space="preserve">субъекта Российской Федерации, среднедушевые денежные доходы населения в котором на 15 и более процентов ниже среднедушевых денежных доходов населения в целом по Российской Федерации, </w:t>
        <w:br/>
        <w:t xml:space="preserve">по данным Федеральной службы государственной статистики за </w:t>
        <w:br/>
        <w:t>I квартал 2020 года;</w:t>
      </w:r>
    </w:p>
    <w:p>
      <w:pPr>
        <w:pStyle w:val="Normal"/>
        <w:numPr>
          <w:ilvl w:val="0"/>
          <w:numId w:val="1"/>
        </w:numPr>
        <w:shd w:val="clear" w:color="auto" w:fill="FFFFFF"/>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кредит предоставлен застройщику после 17 января 2021 года.</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center"/>
        <w:rPr>
          <w:rFonts w:ascii="Times New Roman" w:hAnsi="Times New Roman" w:cs="Times New Roman"/>
          <w:sz w:val="28"/>
          <w:szCs w:val="28"/>
        </w:rPr>
      </w:pPr>
      <w:r>
        <w:rPr>
          <w:rFonts w:cs="Times New Roman" w:ascii="Times New Roman" w:hAnsi="Times New Roman"/>
          <w:sz w:val="28"/>
          <w:szCs w:val="28"/>
        </w:rPr>
        <w:t>Строительство арендного жилья</w:t>
      </w:r>
    </w:p>
    <w:p>
      <w:pPr>
        <w:pStyle w:val="NoSpacing"/>
        <w:ind w:firstLine="709"/>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Наем жилья является одной из важных форм предоставления жилья населению, обеспечивающих мобильность рабочей силы, а также позволяющих гибко реагировать на изменение демографической структуры и доходов населения.</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В настоящее время фактически отсутствуют участники рынка, профессионально занимающиеся предоставлением жилья внаем. При этом деятельность по предоставлению жилья внаем является перспективным видом бизнеса, поскольку помимо доходов от платы за наем наймодатель может получать дополнительную прибыль от обслуживания арендного жилищного фонда и предоставления дополнительных услуг нанимателям.</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В настоящее время в н.п. Глинищево Брянского района реализуется крупный инвестиционный проект в сфере агропромышленного комплекса «Строительство мясохладобойни с пунктом первичной переработки сельскохозяйственных животных производственной мощностью</w:t>
        <w:br/>
        <w:t>200 голов/час». Заказчиком и инвестором выступает агрохолдинг</w:t>
        <w:br/>
        <w:t>ООО «Дружба». В рамках данного проекта реализуется проект по строительству в зоне шаговой доступности от объектов социально-культурной сферы, торгового и бытового обслуживания жилого микрорайона Дружба (проект комплексной компактной застройки с. Глинищево), включающий в себя 190 индивидуальных жилых домов, пять 3-этажных многоквартирных жилых домов, сети электро-, газо- и водоснабжения, внутрипоселковые дороги, строительство детского сада на 155 мест с модульной блочной котельной. Возведенное жилье в многоквартирных домах предполагается предоставлять сотрудникам предприятия в аренду.</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t>Реализация проекта строительства микрорайона Дружба снимает проблему обеспечения агрохолдинга трудовыми ресурсами на длительную перспективу.</w:t>
      </w:r>
    </w:p>
    <w:p>
      <w:pPr>
        <w:pStyle w:val="NoSpacing"/>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Spacing"/>
        <w:ind w:firstLine="709"/>
        <w:jc w:val="center"/>
        <w:rPr>
          <w:rFonts w:ascii="Times New Roman" w:hAnsi="Times New Roman" w:cs="Times New Roman"/>
          <w:sz w:val="28"/>
          <w:szCs w:val="28"/>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86443"/>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Основной текст_"/>
    <w:link w:val="1"/>
    <w:qFormat/>
    <w:locked/>
    <w:rsid w:val="005158ce"/>
    <w:rPr>
      <w:spacing w:val="4"/>
      <w:sz w:val="23"/>
      <w:szCs w:val="23"/>
      <w:shd w:fill="FFFFFF" w:val="clear"/>
    </w:rPr>
  </w:style>
  <w:style w:type="paragraph" w:styleId="Style15">
    <w:name w:val="Заголовок"/>
    <w:basedOn w:val="Normal"/>
    <w:next w:val="Style16"/>
    <w:qFormat/>
    <w:pPr>
      <w:keepNext w:val="true"/>
      <w:spacing w:before="240" w:after="120"/>
    </w:pPr>
    <w:rPr>
      <w:rFonts w:ascii="Liberation Sans" w:hAnsi="Liberation Sans" w:eastAsia="Microsoft YaHei" w:cs="Arial Unicode M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Unicode MS"/>
    </w:rPr>
  </w:style>
  <w:style w:type="paragraph" w:styleId="Style18">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NoSpacing">
    <w:name w:val="No Spacing"/>
    <w:uiPriority w:val="1"/>
    <w:qFormat/>
    <w:rsid w:val="00886443"/>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customStyle="1">
    <w:name w:val="Основной текст1"/>
    <w:basedOn w:val="Normal"/>
    <w:link w:val="a4"/>
    <w:qFormat/>
    <w:rsid w:val="005158ce"/>
    <w:pPr>
      <w:widowControl w:val="false"/>
      <w:shd w:val="clear" w:color="auto" w:fill="FFFFFF"/>
      <w:spacing w:lineRule="exact" w:line="125" w:before="0" w:after="0"/>
    </w:pPr>
    <w:rPr>
      <w:spacing w:val="4"/>
      <w:sz w:val="23"/>
      <w:szCs w:val="23"/>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LibreOffice/7.0.1.2$Windows_X86_64 LibreOffice_project/7cbcfc562f6eb6708b5ff7d7397325de9e764452</Application>
  <Pages>7</Pages>
  <Words>1642</Words>
  <Characters>12529</Characters>
  <CharactersWithSpaces>14062</CharactersWithSpaces>
  <Paragraphs>114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2021-09-01T13:18:00Z</dcterms:created>
  <dc:creator>User Windows</dc:creator>
  <dc:description/>
  <dc:language>ru-RU</dc:language>
  <cp:lastModifiedBy>User Windows</cp:lastModifiedBy>
  <dcterms:modified xsi:type="dcterms:W3CDTF">2021-10-14T12:51:00Z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